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18F" w:rsidRDefault="0078218F" w:rsidP="009F0B97">
      <w:pPr>
        <w:spacing w:line="280" w:lineRule="atLeast"/>
        <w:rPr>
          <w:sz w:val="20"/>
        </w:rPr>
      </w:pPr>
      <w:proofErr w:type="gramStart"/>
      <w:r w:rsidRPr="009F0B97">
        <w:rPr>
          <w:sz w:val="20"/>
        </w:rPr>
        <w:t>Příloha č</w:t>
      </w:r>
      <w:r w:rsidR="000725B0">
        <w:rPr>
          <w:sz w:val="20"/>
        </w:rPr>
        <w:t xml:space="preserve"> </w:t>
      </w:r>
      <w:r w:rsidRPr="009F0B97">
        <w:rPr>
          <w:sz w:val="20"/>
        </w:rPr>
        <w:t>.</w:t>
      </w:r>
      <w:r>
        <w:rPr>
          <w:sz w:val="20"/>
        </w:rPr>
        <w:t>4</w:t>
      </w:r>
      <w:r w:rsidRPr="009F0B97">
        <w:rPr>
          <w:sz w:val="20"/>
        </w:rPr>
        <w:t xml:space="preserve"> – </w:t>
      </w:r>
      <w:r>
        <w:rPr>
          <w:sz w:val="20"/>
        </w:rPr>
        <w:t>projekt</w:t>
      </w:r>
      <w:proofErr w:type="gramEnd"/>
      <w:r>
        <w:rPr>
          <w:sz w:val="20"/>
        </w:rPr>
        <w:t xml:space="preserve">, specifikace účelu použití a technických parametrů aktivních prvků + položkový   </w:t>
      </w:r>
    </w:p>
    <w:p w:rsidR="0078218F" w:rsidRPr="00B84834" w:rsidRDefault="0078218F" w:rsidP="009F0B97">
      <w:pPr>
        <w:spacing w:line="280" w:lineRule="atLeast"/>
        <w:rPr>
          <w:rFonts w:cs="Arial"/>
          <w:sz w:val="20"/>
        </w:rPr>
      </w:pPr>
      <w:r>
        <w:rPr>
          <w:sz w:val="20"/>
        </w:rPr>
        <w:t xml:space="preserve">                     rozpočet</w:t>
      </w:r>
    </w:p>
    <w:p w:rsidR="009F0B97" w:rsidRDefault="00B20B82" w:rsidP="007805E2">
      <w:pPr>
        <w:spacing w:line="280" w:lineRule="atLeas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9417887" wp14:editId="2FB97835">
            <wp:extent cx="5728659" cy="8524875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59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94566B0" wp14:editId="76815B2E">
            <wp:extent cx="5760720" cy="8316801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B93ED9E" wp14:editId="550FB49E">
            <wp:extent cx="6155880" cy="89058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41" cy="890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690F2A8" wp14:editId="11B9E808">
            <wp:extent cx="6183764" cy="878205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18" cy="87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4073BF2" wp14:editId="44937FDE">
            <wp:extent cx="5760720" cy="856010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99D3007" wp14:editId="4E486837">
            <wp:extent cx="5852279" cy="89249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40" cy="89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AD2E07E" wp14:editId="16FB2BCD">
            <wp:extent cx="6112346" cy="9010650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25" cy="900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CCC0BC6" wp14:editId="7AEC7C86">
            <wp:extent cx="6096472" cy="89630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80" cy="896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2" w:rsidRDefault="007805E2" w:rsidP="007805E2">
      <w:pPr>
        <w:spacing w:line="280" w:lineRule="atLeas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D721976" wp14:editId="7D47BC93">
            <wp:extent cx="6181725" cy="90280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48" cy="90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0C" w:rsidRDefault="0006510C" w:rsidP="007C643A">
      <w:pPr>
        <w:spacing w:line="280" w:lineRule="atLeast"/>
        <w:ind w:left="3540" w:firstLine="708"/>
        <w:rPr>
          <w:rFonts w:ascii="Times New Roman" w:hAnsi="Times New Roman"/>
        </w:rPr>
      </w:pPr>
      <w:r>
        <w:rPr>
          <w:sz w:val="20"/>
        </w:rPr>
        <w:lastRenderedPageBreak/>
        <w:t xml:space="preserve">           </w:t>
      </w:r>
    </w:p>
    <w:p w:rsidR="0006510C" w:rsidRPr="005A2585" w:rsidRDefault="0006510C" w:rsidP="0006510C">
      <w:pPr>
        <w:jc w:val="center"/>
        <w:rPr>
          <w:b/>
          <w:sz w:val="28"/>
          <w:szCs w:val="28"/>
        </w:rPr>
      </w:pPr>
      <w:r w:rsidRPr="005A2585">
        <w:rPr>
          <w:b/>
          <w:sz w:val="28"/>
          <w:szCs w:val="28"/>
        </w:rPr>
        <w:t>Specifikace účelu použití, technických parametrů a schéma zapojení aktivních prvků</w:t>
      </w:r>
    </w:p>
    <w:p w:rsidR="0006510C" w:rsidRPr="005A2585" w:rsidRDefault="0006510C" w:rsidP="0006510C">
      <w:pPr>
        <w:rPr>
          <w:b/>
        </w:rPr>
      </w:pPr>
    </w:p>
    <w:p w:rsidR="0006510C" w:rsidRPr="005A2585" w:rsidRDefault="0006510C" w:rsidP="0006510C">
      <w:pPr>
        <w:rPr>
          <w:b/>
          <w:sz w:val="22"/>
          <w:szCs w:val="22"/>
        </w:rPr>
      </w:pPr>
      <w:r w:rsidRPr="005A2585">
        <w:rPr>
          <w:b/>
        </w:rPr>
        <w:t>Centrální přepínače</w:t>
      </w:r>
    </w:p>
    <w:p w:rsidR="0006510C" w:rsidRDefault="0006510C" w:rsidP="0006510C">
      <w:pPr>
        <w:pStyle w:val="Odstavecseseznamem"/>
        <w:numPr>
          <w:ilvl w:val="0"/>
          <w:numId w:val="17"/>
        </w:numPr>
      </w:pPr>
      <w:r>
        <w:t xml:space="preserve">Místní síť Magistrátu města Chomutova se skládá ze tří lokalit. Každá lokalita bude připojena prostřednictvím dvou centrálních přepínačů, kde každý přepínač bude fyzicky samostatné zařízení. </w:t>
      </w:r>
    </w:p>
    <w:p w:rsidR="0006510C" w:rsidRDefault="0006510C" w:rsidP="0006510C">
      <w:pPr>
        <w:pStyle w:val="Odstavecseseznamem"/>
        <w:numPr>
          <w:ilvl w:val="0"/>
          <w:numId w:val="17"/>
        </w:numPr>
      </w:pPr>
      <w:r>
        <w:t xml:space="preserve">Centrální přepínače budou mezi lokalitami propojeny v kruhové topologii prostřednictvím stávající MM optické sítě MMCH s rozhraním 1000BASE-X na konektorech stávajících aktivních prvků, nebo přímo na konektorech optických vláken. </w:t>
      </w:r>
    </w:p>
    <w:p w:rsidR="0006510C" w:rsidRDefault="0006510C" w:rsidP="0006510C">
      <w:pPr>
        <w:pStyle w:val="Odstavecseseznamem"/>
        <w:numPr>
          <w:ilvl w:val="1"/>
          <w:numId w:val="17"/>
        </w:numPr>
      </w:pPr>
      <w:r>
        <w:t>Zborovská – Nám. 1. Máje</w:t>
      </w:r>
      <w:r>
        <w:tab/>
        <w:t xml:space="preserve">AT-GS2002/SP RJ45 konektory </w:t>
      </w:r>
    </w:p>
    <w:p w:rsidR="0006510C" w:rsidRDefault="0006510C" w:rsidP="0006510C">
      <w:pPr>
        <w:pStyle w:val="Odstavecseseznamem"/>
        <w:numPr>
          <w:ilvl w:val="1"/>
          <w:numId w:val="17"/>
        </w:numPr>
      </w:pPr>
      <w:r>
        <w:t>Zborovská – Husovo nám.</w:t>
      </w:r>
      <w:r>
        <w:tab/>
        <w:t>AT-EX1002 SC konektory</w:t>
      </w:r>
    </w:p>
    <w:p w:rsidR="0006510C" w:rsidRDefault="0006510C" w:rsidP="0006510C">
      <w:pPr>
        <w:pStyle w:val="Odstavecseseznamem"/>
        <w:numPr>
          <w:ilvl w:val="1"/>
          <w:numId w:val="17"/>
        </w:numPr>
      </w:pPr>
      <w:r>
        <w:t>Nám. 1. máje – Husovo nám.</w:t>
      </w:r>
      <w:r>
        <w:tab/>
        <w:t>optický kabel MM 62,5/125 ST konektory (330m)</w:t>
      </w:r>
    </w:p>
    <w:p w:rsidR="0006510C" w:rsidRDefault="0006510C" w:rsidP="0006510C">
      <w:pPr>
        <w:pStyle w:val="Odstavecseseznamem"/>
        <w:numPr>
          <w:ilvl w:val="0"/>
          <w:numId w:val="17"/>
        </w:numPr>
      </w:pPr>
      <w:r>
        <w:t xml:space="preserve">Po dobudování Metropolitní sítě bude propojení lokalit realizováno technologií 10GBASE-LR s využitím SM optické kabeláže zakončené konektory LC/APC. </w:t>
      </w:r>
    </w:p>
    <w:p w:rsidR="0006510C" w:rsidRDefault="0006510C" w:rsidP="0006510C">
      <w:pPr>
        <w:pStyle w:val="Odstavecseseznamem"/>
        <w:numPr>
          <w:ilvl w:val="0"/>
          <w:numId w:val="17"/>
        </w:numPr>
      </w:pPr>
      <w:r>
        <w:t>Centrální přepínače budou disponovat rozhraním pro obě varianty připojení, včetně propojovacích kabelů odpovídajících typů. Obě rozhraní mohou využívat shodné porty, nebudou provozována současně.</w:t>
      </w:r>
    </w:p>
    <w:p w:rsidR="0006510C" w:rsidRDefault="0006510C" w:rsidP="0006510C">
      <w:pPr>
        <w:pStyle w:val="Odstavecseseznamem"/>
        <w:numPr>
          <w:ilvl w:val="0"/>
          <w:numId w:val="17"/>
        </w:numPr>
      </w:pPr>
      <w:r>
        <w:t>Všechny centrální přepínače budou sloučeny do jednoho logického celku (stoh, virtuální šasi, nebo jiný funkčně obdobný celek, dále označováno jako stoh)</w:t>
      </w:r>
    </w:p>
    <w:p w:rsidR="0006510C" w:rsidRPr="005A2585" w:rsidRDefault="0006510C" w:rsidP="0006510C">
      <w:pPr>
        <w:pStyle w:val="Odstavecseseznamem"/>
        <w:numPr>
          <w:ilvl w:val="0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  <w:sz w:val="20"/>
        </w:rPr>
      </w:pPr>
      <w:r>
        <w:t>Stoh centrálních přepínačů musí splňovat následující kritéria:</w:t>
      </w:r>
    </w:p>
    <w:p w:rsidR="0006510C" w:rsidRPr="005A2585" w:rsidRDefault="0006510C" w:rsidP="0006510C">
      <w:pPr>
        <w:pStyle w:val="Odstavecseseznamem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  <w:sz w:val="20"/>
        </w:rPr>
      </w:pPr>
      <w:r>
        <w:t xml:space="preserve">vysoká dostupnost a odolnost proti výpadku- </w:t>
      </w:r>
      <w:proofErr w:type="spellStart"/>
      <w:r>
        <w:t>failover</w:t>
      </w:r>
      <w:proofErr w:type="spellEnd"/>
      <w:r>
        <w:t xml:space="preserve"> do 50 </w:t>
      </w:r>
      <w:proofErr w:type="spellStart"/>
      <w:r>
        <w:t>ms</w:t>
      </w:r>
      <w:proofErr w:type="spellEnd"/>
    </w:p>
    <w:p w:rsidR="0006510C" w:rsidRPr="005A2585" w:rsidRDefault="0006510C" w:rsidP="0006510C">
      <w:pPr>
        <w:pStyle w:val="Odstavecseseznamem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  <w:sz w:val="20"/>
        </w:rPr>
      </w:pPr>
      <w:r>
        <w:t>podpora distribuované linkové agregace</w:t>
      </w:r>
    </w:p>
    <w:p w:rsidR="0006510C" w:rsidRPr="005A2585" w:rsidRDefault="0006510C" w:rsidP="0006510C">
      <w:pPr>
        <w:pStyle w:val="Odstavecseseznamem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  <w:sz w:val="20"/>
        </w:rPr>
      </w:pPr>
      <w:r>
        <w:t xml:space="preserve">podpora distribuovaného </w:t>
      </w:r>
      <w:proofErr w:type="spellStart"/>
      <w:r>
        <w:t>routing</w:t>
      </w:r>
      <w:proofErr w:type="spellEnd"/>
      <w:r>
        <w:t xml:space="preserve"> </w:t>
      </w:r>
      <w:proofErr w:type="spellStart"/>
      <w:r>
        <w:t>engine</w:t>
      </w:r>
      <w:proofErr w:type="spellEnd"/>
    </w:p>
    <w:p w:rsidR="0006510C" w:rsidRPr="005A2585" w:rsidRDefault="0006510C" w:rsidP="0006510C">
      <w:pPr>
        <w:pStyle w:val="Odstavecseseznamem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  <w:sz w:val="20"/>
        </w:rPr>
      </w:pPr>
      <w:r>
        <w:t>podpora technologie In-</w:t>
      </w:r>
      <w:proofErr w:type="spellStart"/>
      <w:r>
        <w:t>Service</w:t>
      </w:r>
      <w:proofErr w:type="spellEnd"/>
      <w:r>
        <w:t xml:space="preserve"> Software Upgrade (</w:t>
      </w:r>
      <w:proofErr w:type="gramStart"/>
      <w:r>
        <w:t>ISSU) , nebo</w:t>
      </w:r>
      <w:proofErr w:type="gramEnd"/>
      <w:r>
        <w:t xml:space="preserve"> obdobné technologie zajišťující </w:t>
      </w:r>
      <w:proofErr w:type="spellStart"/>
      <w:r>
        <w:t>bezvýpadkový</w:t>
      </w:r>
      <w:proofErr w:type="spellEnd"/>
      <w:r>
        <w:t xml:space="preserve"> upgrade softwaru centrálních přepínačů</w:t>
      </w:r>
    </w:p>
    <w:p w:rsidR="0006510C" w:rsidRPr="005A2585" w:rsidRDefault="0006510C" w:rsidP="0006510C">
      <w:pPr>
        <w:pStyle w:val="Odstavecseseznamem"/>
        <w:numPr>
          <w:ilvl w:val="0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line="288" w:lineRule="auto"/>
        <w:ind w:left="714" w:hanging="357"/>
        <w:rPr>
          <w:position w:val="-2"/>
          <w:sz w:val="20"/>
        </w:rPr>
      </w:pPr>
      <w:r>
        <w:t>Centrální přepínače musí podporovat:</w:t>
      </w:r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>SFP+ porty s plnou podporou 1000Base-T modulů (min. 4 SFP+ porty)</w:t>
      </w:r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proofErr w:type="spellStart"/>
      <w:r>
        <w:t>QoS</w:t>
      </w:r>
      <w:proofErr w:type="spellEnd"/>
      <w:r>
        <w:t xml:space="preserve"> (</w:t>
      </w:r>
      <w:proofErr w:type="spellStart"/>
      <w:r>
        <w:t>hierrarchický</w:t>
      </w:r>
      <w:proofErr w:type="spellEnd"/>
      <w:r>
        <w:t xml:space="preserve"> </w:t>
      </w:r>
      <w:proofErr w:type="spellStart"/>
      <w:r>
        <w:t>QoS</w:t>
      </w:r>
      <w:proofErr w:type="spellEnd"/>
      <w:r>
        <w:t xml:space="preserve"> - </w:t>
      </w:r>
      <w:proofErr w:type="spellStart"/>
      <w:r>
        <w:t>HQoS</w:t>
      </w:r>
      <w:proofErr w:type="spellEnd"/>
      <w:r>
        <w:t>)</w:t>
      </w:r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proofErr w:type="spellStart"/>
      <w:r>
        <w:t>Control</w:t>
      </w:r>
      <w:proofErr w:type="spellEnd"/>
      <w:r>
        <w:t xml:space="preserve"> Plane </w:t>
      </w:r>
      <w:proofErr w:type="spellStart"/>
      <w:r>
        <w:t>Policing</w:t>
      </w:r>
      <w:proofErr w:type="spellEnd"/>
      <w:r>
        <w:t xml:space="preserve"> </w:t>
      </w:r>
      <w:proofErr w:type="spellStart"/>
      <w:r>
        <w:t>CoPP</w:t>
      </w:r>
      <w:proofErr w:type="spellEnd"/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>protokoly IEEE 802.3ah a IEEE 802.3ag</w:t>
      </w:r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 xml:space="preserve">nativní IPv6 (IPv6 host, </w:t>
      </w:r>
      <w:proofErr w:type="spellStart"/>
      <w:r>
        <w:t>Dual</w:t>
      </w:r>
      <w:proofErr w:type="spellEnd"/>
      <w:r>
        <w:t xml:space="preserve"> </w:t>
      </w:r>
      <w:proofErr w:type="spellStart"/>
      <w:r>
        <w:t>Stack</w:t>
      </w:r>
      <w:proofErr w:type="spellEnd"/>
      <w:r>
        <w:t xml:space="preserve"> - IPv4/IPv6, MLD </w:t>
      </w:r>
      <w:proofErr w:type="spellStart"/>
      <w:r>
        <w:t>snooping</w:t>
      </w:r>
      <w:proofErr w:type="spellEnd"/>
      <w:r>
        <w:t>, IPv6 ACL/</w:t>
      </w:r>
      <w:proofErr w:type="spellStart"/>
      <w:r>
        <w:t>QoS</w:t>
      </w:r>
      <w:proofErr w:type="spellEnd"/>
      <w:r>
        <w:t xml:space="preserve">, IPv6 </w:t>
      </w:r>
      <w:proofErr w:type="spellStart"/>
      <w:r>
        <w:t>routing</w:t>
      </w:r>
      <w:proofErr w:type="spellEnd"/>
      <w:r>
        <w:t>)</w:t>
      </w:r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 xml:space="preserve">L2 </w:t>
      </w:r>
      <w:proofErr w:type="spellStart"/>
      <w:r>
        <w:t>switching</w:t>
      </w:r>
      <w:proofErr w:type="spellEnd"/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 xml:space="preserve">GARP VLAN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Protocol</w:t>
      </w:r>
      <w:proofErr w:type="spellEnd"/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 xml:space="preserve">min. 32K MAC </w:t>
      </w:r>
      <w:proofErr w:type="spellStart"/>
      <w:r>
        <w:t>addresses</w:t>
      </w:r>
      <w:proofErr w:type="spellEnd"/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>min. 4094 port-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VLANs</w:t>
      </w:r>
      <w:proofErr w:type="spellEnd"/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 xml:space="preserve">IEEE 802.1ad </w:t>
      </w:r>
      <w:proofErr w:type="spellStart"/>
      <w:r>
        <w:t>QinQ</w:t>
      </w:r>
      <w:proofErr w:type="spellEnd"/>
      <w:r>
        <w:t xml:space="preserve"> a selektivní </w:t>
      </w:r>
      <w:proofErr w:type="spellStart"/>
      <w:r>
        <w:t>QinQ</w:t>
      </w:r>
      <w:proofErr w:type="spellEnd"/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 xml:space="preserve">Gigabit </w:t>
      </w:r>
      <w:proofErr w:type="spellStart"/>
      <w:r>
        <w:t>Ethernet</w:t>
      </w:r>
      <w:proofErr w:type="spellEnd"/>
      <w:r>
        <w:t xml:space="preserve"> a 10 </w:t>
      </w:r>
      <w:proofErr w:type="spellStart"/>
      <w:r>
        <w:t>GbE</w:t>
      </w:r>
      <w:proofErr w:type="spellEnd"/>
      <w:r>
        <w:t xml:space="preserve"> port </w:t>
      </w:r>
      <w:proofErr w:type="spellStart"/>
      <w:r>
        <w:t>aggregation</w:t>
      </w:r>
      <w:proofErr w:type="spellEnd"/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>IPFIX/</w:t>
      </w:r>
      <w:proofErr w:type="spellStart"/>
      <w:r>
        <w:t>sFlow</w:t>
      </w:r>
      <w:proofErr w:type="spellEnd"/>
      <w:r>
        <w:t xml:space="preserve"> </w:t>
      </w:r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 xml:space="preserve">L3 </w:t>
      </w:r>
      <w:proofErr w:type="spellStart"/>
      <w:r>
        <w:t>services</w:t>
      </w:r>
      <w:proofErr w:type="spellEnd"/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>ARP</w:t>
      </w:r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 xml:space="preserve">DHCP - </w:t>
      </w:r>
      <w:proofErr w:type="spellStart"/>
      <w:r>
        <w:t>client</w:t>
      </w:r>
      <w:proofErr w:type="spellEnd"/>
      <w:r>
        <w:t xml:space="preserve">, server, DHCP </w:t>
      </w:r>
      <w:proofErr w:type="spellStart"/>
      <w:r>
        <w:t>relay</w:t>
      </w:r>
      <w:proofErr w:type="spellEnd"/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 xml:space="preserve">L3 </w:t>
      </w:r>
      <w:proofErr w:type="spellStart"/>
      <w:r>
        <w:t>routing</w:t>
      </w:r>
      <w:proofErr w:type="spellEnd"/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 xml:space="preserve">L3 IPv4 a IPv6 </w:t>
      </w:r>
      <w:proofErr w:type="spellStart"/>
      <w:r>
        <w:t>routing</w:t>
      </w:r>
      <w:proofErr w:type="spellEnd"/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lastRenderedPageBreak/>
        <w:t>OSPF / OSPFv3</w:t>
      </w:r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>VRRP</w:t>
      </w:r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>PIM SM/SSM pro IPv4 a IPv6</w:t>
      </w:r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>MPLS</w:t>
      </w:r>
    </w:p>
    <w:p w:rsidR="0006510C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>
        <w:t>VPLS</w:t>
      </w:r>
    </w:p>
    <w:p w:rsidR="0006510C" w:rsidRDefault="0006510C" w:rsidP="0006510C">
      <w:pPr>
        <w:pStyle w:val="Odrk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06510C" w:rsidRPr="005A2585" w:rsidRDefault="0006510C" w:rsidP="0006510C">
      <w:pPr>
        <w:pStyle w:val="Odrk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b/>
        </w:rPr>
      </w:pPr>
      <w:r w:rsidRPr="005A2585">
        <w:rPr>
          <w:b/>
        </w:rPr>
        <w:t>Periferní přepínače</w:t>
      </w:r>
    </w:p>
    <w:p w:rsidR="0006510C" w:rsidRDefault="0006510C" w:rsidP="0006510C">
      <w:pPr>
        <w:pStyle w:val="Odrk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06510C" w:rsidRPr="005A2585" w:rsidRDefault="0006510C" w:rsidP="0006510C">
      <w:pPr>
        <w:pStyle w:val="Odrky"/>
        <w:numPr>
          <w:ilvl w:val="0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>Periferní přepínače budou s oběma centrálními přepínači v jednotlivých lokalitách propojeny agregovanými spoji v topologii hvězda</w:t>
      </w:r>
    </w:p>
    <w:p w:rsidR="0006510C" w:rsidRPr="005A2585" w:rsidRDefault="0006510C" w:rsidP="0006510C">
      <w:pPr>
        <w:pStyle w:val="Odrky"/>
        <w:numPr>
          <w:ilvl w:val="0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 w:rsidRPr="005A2585">
        <w:rPr>
          <w:position w:val="-2"/>
        </w:rPr>
        <w:t xml:space="preserve">Pokud je na jednom agregovaném spoji více periferních přepínačů, budou sloučeny v jeden logický celek – stoh. </w:t>
      </w:r>
    </w:p>
    <w:p w:rsidR="0006510C" w:rsidRDefault="0006510C" w:rsidP="0006510C">
      <w:pPr>
        <w:pStyle w:val="Odrky"/>
        <w:numPr>
          <w:ilvl w:val="0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</w:pPr>
      <w:r w:rsidRPr="005A2585">
        <w:rPr>
          <w:position w:val="-2"/>
        </w:rPr>
        <w:t xml:space="preserve">Stoh periferních přepínačů musí splňovat následující </w:t>
      </w:r>
      <w:proofErr w:type="spellStart"/>
      <w:r w:rsidRPr="005A2585">
        <w:rPr>
          <w:position w:val="-2"/>
        </w:rPr>
        <w:t>kriteria</w:t>
      </w:r>
      <w:proofErr w:type="spellEnd"/>
      <w:r w:rsidRPr="005A2585">
        <w:rPr>
          <w:position w:val="-2"/>
        </w:rPr>
        <w:t>:</w:t>
      </w:r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</w:pPr>
      <w:r>
        <w:t xml:space="preserve"> vysoká dostupnost a odolnost proti výpadku - </w:t>
      </w:r>
      <w:proofErr w:type="spellStart"/>
      <w:r>
        <w:t>failover</w:t>
      </w:r>
      <w:proofErr w:type="spellEnd"/>
      <w:r>
        <w:t xml:space="preserve"> do 50 </w:t>
      </w:r>
      <w:proofErr w:type="spellStart"/>
      <w:r>
        <w:t>ms</w:t>
      </w:r>
      <w:proofErr w:type="spellEnd"/>
    </w:p>
    <w:p w:rsidR="0006510C" w:rsidRDefault="0006510C" w:rsidP="0006510C">
      <w:pPr>
        <w:pStyle w:val="Odrky"/>
        <w:numPr>
          <w:ilvl w:val="0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</w:pPr>
      <w:r>
        <w:t>Periferní přepínače musí splňovat:</w:t>
      </w:r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</w:pPr>
      <w:proofErr w:type="spellStart"/>
      <w:r>
        <w:t>QoS</w:t>
      </w:r>
      <w:proofErr w:type="spellEnd"/>
      <w:r>
        <w:t xml:space="preserve"> - rozšířená klasifikace </w:t>
      </w:r>
      <w:proofErr w:type="spellStart"/>
      <w:r>
        <w:t>QoS</w:t>
      </w:r>
      <w:proofErr w:type="spellEnd"/>
      <w:r>
        <w:t xml:space="preserve">,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policing</w:t>
      </w:r>
      <w:proofErr w:type="spellEnd"/>
      <w:r>
        <w:t xml:space="preserve">, RRPP, </w:t>
      </w:r>
      <w:proofErr w:type="spellStart"/>
      <w:r>
        <w:t>Broadcast</w:t>
      </w:r>
      <w:proofErr w:type="spellEnd"/>
      <w:r>
        <w:t xml:space="preserve"> </w:t>
      </w:r>
      <w:proofErr w:type="spellStart"/>
      <w:r>
        <w:t>control</w:t>
      </w:r>
      <w:proofErr w:type="spellEnd"/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</w:pPr>
      <w:r>
        <w:t>VRRP</w:t>
      </w:r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</w:pPr>
      <w:proofErr w:type="spellStart"/>
      <w:r>
        <w:t>GbE</w:t>
      </w:r>
      <w:proofErr w:type="spellEnd"/>
      <w:r>
        <w:t xml:space="preserve"> interface</w:t>
      </w:r>
    </w:p>
    <w:p w:rsidR="0006510C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</w:pPr>
      <w:r>
        <w:t>IPv6 management</w:t>
      </w:r>
    </w:p>
    <w:p w:rsidR="0006510C" w:rsidRPr="005A2585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proofErr w:type="spellStart"/>
      <w:r>
        <w:t>Nonblocking</w:t>
      </w:r>
      <w:proofErr w:type="spellEnd"/>
      <w:r>
        <w:t xml:space="preserve"> performance</w:t>
      </w:r>
    </w:p>
    <w:p w:rsidR="0006510C" w:rsidRPr="005A2585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 xml:space="preserve">L2 </w:t>
      </w:r>
      <w:proofErr w:type="spellStart"/>
      <w:r>
        <w:t>switching</w:t>
      </w:r>
      <w:proofErr w:type="spellEnd"/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 xml:space="preserve">16/32K MAC </w:t>
      </w:r>
      <w:proofErr w:type="spellStart"/>
      <w:r>
        <w:t>address</w:t>
      </w:r>
      <w:proofErr w:type="spellEnd"/>
      <w:r>
        <w:t xml:space="preserve"> table</w:t>
      </w:r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>min. 4094 port-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VLANs</w:t>
      </w:r>
      <w:proofErr w:type="spellEnd"/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 xml:space="preserve">IEEE 802.1ad </w:t>
      </w:r>
      <w:proofErr w:type="spellStart"/>
      <w:r>
        <w:t>QinQ</w:t>
      </w:r>
      <w:proofErr w:type="spellEnd"/>
      <w:r>
        <w:t xml:space="preserve"> a selektivní </w:t>
      </w:r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proofErr w:type="spellStart"/>
      <w:r>
        <w:t>QinQ</w:t>
      </w:r>
      <w:proofErr w:type="spellEnd"/>
      <w:r>
        <w:t xml:space="preserve"> Gigabit </w:t>
      </w:r>
      <w:proofErr w:type="spellStart"/>
      <w:r>
        <w:t>Ethernet</w:t>
      </w:r>
      <w:proofErr w:type="spellEnd"/>
      <w:r>
        <w:t xml:space="preserve"> port </w:t>
      </w:r>
      <w:proofErr w:type="spellStart"/>
      <w:r>
        <w:t>aggregation</w:t>
      </w:r>
      <w:proofErr w:type="spellEnd"/>
    </w:p>
    <w:p w:rsidR="0006510C" w:rsidRPr="005A2585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 xml:space="preserve">L3 </w:t>
      </w:r>
      <w:proofErr w:type="spellStart"/>
      <w:r>
        <w:t>services</w:t>
      </w:r>
      <w:proofErr w:type="spellEnd"/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 xml:space="preserve">DHCP - </w:t>
      </w:r>
      <w:proofErr w:type="spellStart"/>
      <w:r>
        <w:t>client</w:t>
      </w:r>
      <w:proofErr w:type="spellEnd"/>
      <w:r>
        <w:t xml:space="preserve">, server, DHCP </w:t>
      </w:r>
      <w:proofErr w:type="spellStart"/>
      <w:r>
        <w:t>relay</w:t>
      </w:r>
      <w:proofErr w:type="spellEnd"/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 xml:space="preserve">Funkce User Datagram </w:t>
      </w:r>
      <w:proofErr w:type="spellStart"/>
      <w:r>
        <w:t>Protocol</w:t>
      </w:r>
      <w:proofErr w:type="spellEnd"/>
      <w:r>
        <w:t xml:space="preserve"> </w:t>
      </w:r>
      <w:proofErr w:type="spellStart"/>
      <w:r>
        <w:t>helper</w:t>
      </w:r>
      <w:proofErr w:type="spellEnd"/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 xml:space="preserve">Route </w:t>
      </w:r>
      <w:proofErr w:type="spellStart"/>
      <w:r>
        <w:t>maps</w:t>
      </w:r>
      <w:proofErr w:type="spellEnd"/>
    </w:p>
    <w:p w:rsidR="0006510C" w:rsidRPr="005A2585" w:rsidRDefault="0006510C" w:rsidP="0006510C">
      <w:pPr>
        <w:pStyle w:val="Odrky"/>
        <w:numPr>
          <w:ilvl w:val="1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 xml:space="preserve">L3 </w:t>
      </w:r>
      <w:proofErr w:type="spellStart"/>
      <w:r>
        <w:t>routing</w:t>
      </w:r>
      <w:proofErr w:type="spellEnd"/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 xml:space="preserve">L3 IPv4 a IPv6 </w:t>
      </w:r>
      <w:proofErr w:type="spellStart"/>
      <w:r>
        <w:t>routing</w:t>
      </w:r>
      <w:proofErr w:type="spellEnd"/>
      <w:r>
        <w:t xml:space="preserve"> - podpora statických rout, RIP, </w:t>
      </w:r>
      <w:proofErr w:type="spellStart"/>
      <w:r>
        <w:t>RIPng</w:t>
      </w:r>
      <w:proofErr w:type="spellEnd"/>
      <w:r>
        <w:t>, OSPFv3, IS-ISv6, BGP4+</w:t>
      </w:r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proofErr w:type="spellStart"/>
      <w:r>
        <w:t>Equal-Cost</w:t>
      </w:r>
      <w:proofErr w:type="spellEnd"/>
      <w:r>
        <w:t xml:space="preserve"> </w:t>
      </w:r>
      <w:proofErr w:type="spellStart"/>
      <w:r>
        <w:t>Multipath</w:t>
      </w:r>
      <w:proofErr w:type="spellEnd"/>
      <w:r>
        <w:t xml:space="preserve"> (ECMP)</w:t>
      </w:r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>PIM-SSM, PIM-DM, and PIM-SM (</w:t>
      </w:r>
      <w:proofErr w:type="spellStart"/>
      <w:r>
        <w:t>for</w:t>
      </w:r>
      <w:proofErr w:type="spellEnd"/>
      <w:r>
        <w:t xml:space="preserve"> IPv4 and IPv6)</w:t>
      </w:r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proofErr w:type="spellStart"/>
      <w:r>
        <w:t>Multicast</w:t>
      </w:r>
      <w:proofErr w:type="spellEnd"/>
      <w:r>
        <w:t xml:space="preserve"> Source </w:t>
      </w:r>
      <w:proofErr w:type="spellStart"/>
      <w:r>
        <w:t>Discovery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 (MSDP)</w:t>
      </w:r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proofErr w:type="spellStart"/>
      <w:r>
        <w:t>Bidirectional</w:t>
      </w:r>
      <w:proofErr w:type="spellEnd"/>
      <w:r>
        <w:t xml:space="preserve"> </w:t>
      </w:r>
      <w:proofErr w:type="spellStart"/>
      <w:r>
        <w:t>Forwarding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(BFD)</w:t>
      </w:r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>IGMPv1, v2, and v3</w:t>
      </w:r>
    </w:p>
    <w:p w:rsidR="0006510C" w:rsidRPr="005A2585" w:rsidRDefault="0006510C" w:rsidP="0006510C">
      <w:pPr>
        <w:pStyle w:val="Odrky"/>
        <w:numPr>
          <w:ilvl w:val="2"/>
          <w:numId w:val="17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288" w:lineRule="auto"/>
        <w:rPr>
          <w:position w:val="-2"/>
        </w:rPr>
      </w:pPr>
      <w:r>
        <w:t xml:space="preserve">IPv6 </w:t>
      </w:r>
      <w:proofErr w:type="spellStart"/>
      <w:r>
        <w:t>tunneling</w:t>
      </w:r>
      <w:proofErr w:type="spellEnd"/>
    </w:p>
    <w:p w:rsidR="0006510C" w:rsidRDefault="0006510C" w:rsidP="0006510C">
      <w:pPr>
        <w:ind w:left="708"/>
      </w:pPr>
    </w:p>
    <w:p w:rsidR="0006510C" w:rsidRDefault="0006510C" w:rsidP="0006510C">
      <w:pPr>
        <w:ind w:left="708"/>
      </w:pPr>
    </w:p>
    <w:p w:rsidR="0006510C" w:rsidRDefault="0006510C" w:rsidP="0006510C">
      <w:pPr>
        <w:ind w:left="708"/>
      </w:pPr>
    </w:p>
    <w:p w:rsidR="0006510C" w:rsidRDefault="0006510C" w:rsidP="0006510C">
      <w:pPr>
        <w:ind w:left="708"/>
      </w:pPr>
    </w:p>
    <w:p w:rsidR="0006510C" w:rsidRDefault="0006510C" w:rsidP="0006510C">
      <w:pPr>
        <w:ind w:left="708"/>
      </w:pPr>
    </w:p>
    <w:p w:rsidR="0006510C" w:rsidRDefault="0006510C" w:rsidP="0006510C">
      <w:pPr>
        <w:ind w:left="708"/>
      </w:pPr>
    </w:p>
    <w:p w:rsidR="0006510C" w:rsidRDefault="0006510C" w:rsidP="0006510C">
      <w:pPr>
        <w:ind w:left="708"/>
      </w:pPr>
    </w:p>
    <w:p w:rsidR="0006510C" w:rsidRDefault="0006510C" w:rsidP="0006510C">
      <w:pPr>
        <w:ind w:left="708"/>
      </w:pPr>
    </w:p>
    <w:p w:rsidR="0006510C" w:rsidRDefault="0006510C" w:rsidP="0006510C">
      <w:pPr>
        <w:ind w:left="708"/>
      </w:pPr>
    </w:p>
    <w:p w:rsidR="000725B0" w:rsidRDefault="000725B0" w:rsidP="0006510C">
      <w:pPr>
        <w:ind w:left="708"/>
      </w:pPr>
    </w:p>
    <w:p w:rsidR="000725B0" w:rsidRDefault="000725B0" w:rsidP="0006510C">
      <w:pPr>
        <w:ind w:left="708"/>
      </w:pPr>
    </w:p>
    <w:p w:rsidR="000725B0" w:rsidRDefault="000725B0" w:rsidP="0006510C">
      <w:pPr>
        <w:ind w:left="708"/>
      </w:pPr>
    </w:p>
    <w:p w:rsidR="0006510C" w:rsidRPr="005A2585" w:rsidRDefault="0006510C" w:rsidP="0006510C">
      <w:pPr>
        <w:pStyle w:val="Odstavecseseznamem"/>
        <w:ind w:left="0"/>
        <w:rPr>
          <w:b/>
        </w:rPr>
      </w:pPr>
      <w:r w:rsidRPr="005A2585">
        <w:rPr>
          <w:b/>
        </w:rPr>
        <w:t>Přehled požadovaných přepínačů</w:t>
      </w:r>
    </w:p>
    <w:p w:rsidR="0006510C" w:rsidRDefault="0006510C" w:rsidP="0006510C">
      <w:pPr>
        <w:pStyle w:val="Odstavecseseznamem"/>
        <w:ind w:left="0"/>
      </w:pPr>
      <w:r>
        <w:t>Kromě portů, příslušných modulů, stohovacích a propojovacích kabelů potřebných pro vzájemné propojení centrálních přepínačů a pro propojení centrální a periferních přepínačů dle přiloženého schématu, budou přepínače disponovat volnými metalickými porty v minimálním počtu a uvedené rychlosti dle následující tabulky</w:t>
      </w:r>
    </w:p>
    <w:p w:rsidR="0006510C" w:rsidRDefault="0006510C" w:rsidP="0006510C">
      <w:pPr>
        <w:pStyle w:val="Odstavecseseznamem"/>
        <w:ind w:left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1787"/>
        <w:gridCol w:w="2353"/>
        <w:gridCol w:w="1535"/>
        <w:gridCol w:w="1535"/>
        <w:gridCol w:w="1535"/>
      </w:tblGrid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b/>
                <w:sz w:val="22"/>
                <w:szCs w:val="22"/>
              </w:rPr>
            </w:pPr>
            <w:r w:rsidRPr="005A2585">
              <w:rPr>
                <w:b/>
              </w:rPr>
              <w:t>Lokalita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b/>
                <w:sz w:val="22"/>
                <w:szCs w:val="22"/>
              </w:rPr>
            </w:pPr>
            <w:r w:rsidRPr="005A2585">
              <w:rPr>
                <w:b/>
              </w:rPr>
              <w:t>Umístění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b/>
                <w:sz w:val="22"/>
                <w:szCs w:val="22"/>
              </w:rPr>
            </w:pPr>
            <w:r w:rsidRPr="005A2585">
              <w:rPr>
                <w:b/>
              </w:rPr>
              <w:t>Typ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b/>
                <w:sz w:val="22"/>
                <w:szCs w:val="22"/>
              </w:rPr>
            </w:pPr>
            <w:r w:rsidRPr="005A2585">
              <w:rPr>
                <w:b/>
              </w:rPr>
              <w:t>10/100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b/>
                <w:sz w:val="22"/>
                <w:szCs w:val="22"/>
              </w:rPr>
            </w:pPr>
            <w:r w:rsidRPr="005A2585">
              <w:rPr>
                <w:b/>
              </w:rPr>
              <w:t>10/100/1000</w:t>
            </w: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Datové centrum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Centrální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20</w:t>
            </w: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Datové centrum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Centrální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20</w:t>
            </w: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Datové centrum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46</w:t>
            </w: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Přízemí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Přízemí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1.NP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1.NP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2.NP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2.NP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3.NP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11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Zborovská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3.NP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proofErr w:type="gramStart"/>
            <w:r>
              <w:t>Nám.1.máje</w:t>
            </w:r>
            <w:proofErr w:type="gramEnd"/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Telefonní ústředna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Centrální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8</w:t>
            </w: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proofErr w:type="gramStart"/>
            <w:r>
              <w:t>Nám.1.máje</w:t>
            </w:r>
            <w:proofErr w:type="gramEnd"/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Telefonní ústředna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Centrální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8</w:t>
            </w: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14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proofErr w:type="gramStart"/>
            <w:r>
              <w:t>Nám.1.máje</w:t>
            </w:r>
            <w:proofErr w:type="gramEnd"/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Telefonní ústředna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15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proofErr w:type="gramStart"/>
            <w:r>
              <w:t>Nám.1.máje</w:t>
            </w:r>
            <w:proofErr w:type="gramEnd"/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Telefonní ústředna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16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proofErr w:type="gramStart"/>
            <w:r>
              <w:t>Nám.1.máje</w:t>
            </w:r>
            <w:proofErr w:type="gramEnd"/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Kancelář primátora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22</w:t>
            </w: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17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proofErr w:type="gramStart"/>
            <w:r>
              <w:t>Nám.1.máje</w:t>
            </w:r>
            <w:proofErr w:type="gramEnd"/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Interní audit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proofErr w:type="gramStart"/>
            <w:r>
              <w:t>Nám.1.máje</w:t>
            </w:r>
            <w:proofErr w:type="gramEnd"/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Rozvoj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19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proofErr w:type="gramStart"/>
            <w:r>
              <w:t>Nám.1.máje</w:t>
            </w:r>
            <w:proofErr w:type="gramEnd"/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Zasedací místnost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Husovo nám.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Telefonní ústředna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Centrální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8</w:t>
            </w: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21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Husovo nám.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Telefonní ústředna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Centrální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8</w:t>
            </w: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Husovo nám.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Telefonní ústředna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Husovo nám.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Přízemí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  <w:tr w:rsidR="0006510C" w:rsidRPr="005A2585" w:rsidTr="0045092C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24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Husovo nám.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2.NP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Periferní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  <w:r>
              <w:t>24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10C" w:rsidRPr="005A2585" w:rsidRDefault="0006510C" w:rsidP="0045092C">
            <w:pPr>
              <w:rPr>
                <w:sz w:val="22"/>
                <w:szCs w:val="22"/>
              </w:rPr>
            </w:pPr>
          </w:p>
        </w:tc>
      </w:tr>
    </w:tbl>
    <w:p w:rsidR="0006510C" w:rsidRPr="005A2585" w:rsidRDefault="0006510C" w:rsidP="0006510C">
      <w:pPr>
        <w:rPr>
          <w:rFonts w:ascii="Calibri" w:hAnsi="Calibri"/>
          <w:sz w:val="22"/>
          <w:szCs w:val="22"/>
        </w:rPr>
      </w:pPr>
    </w:p>
    <w:p w:rsidR="0006510C" w:rsidRDefault="0006510C" w:rsidP="0006510C">
      <w:r>
        <w:t>Veškeré požadované funkce a parametry musí být na všech zařízeních dostupné bez nutnosti nákupu dodatečných hardwarových komponent, softwaru, nebo licencí, které nejsou součástí nabídky.</w:t>
      </w:r>
    </w:p>
    <w:p w:rsidR="0006510C" w:rsidRDefault="0006510C" w:rsidP="0006510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1A4525" wp14:editId="3EDB6C17">
            <wp:simplePos x="0" y="0"/>
            <wp:positionH relativeFrom="margin">
              <wp:posOffset>-69215</wp:posOffset>
            </wp:positionH>
            <wp:positionV relativeFrom="margin">
              <wp:posOffset>-6985</wp:posOffset>
            </wp:positionV>
            <wp:extent cx="5930900" cy="901192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01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5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7"/>
        <w:gridCol w:w="185"/>
        <w:gridCol w:w="5358"/>
        <w:gridCol w:w="855"/>
        <w:gridCol w:w="460"/>
        <w:gridCol w:w="687"/>
      </w:tblGrid>
      <w:tr w:rsidR="00772473" w:rsidRPr="00543ED2" w:rsidTr="0045092C">
        <w:trPr>
          <w:trHeight w:val="263"/>
        </w:trPr>
        <w:tc>
          <w:tcPr>
            <w:tcW w:w="9502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72473" w:rsidRPr="00543ED2" w:rsidRDefault="00772473" w:rsidP="004509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lastRenderedPageBreak/>
              <w:t>MMCH - strukturovaná kabeláž vč. aktivních prvků</w:t>
            </w:r>
          </w:p>
        </w:tc>
      </w:tr>
      <w:tr w:rsidR="00772473" w:rsidRPr="00543ED2" w:rsidTr="0045092C">
        <w:trPr>
          <w:trHeight w:val="341"/>
        </w:trPr>
        <w:tc>
          <w:tcPr>
            <w:tcW w:w="9502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43ED2">
              <w:rPr>
                <w:rFonts w:ascii="Calibri" w:hAnsi="Calibri" w:cs="Calibri"/>
                <w:color w:val="000000"/>
                <w:sz w:val="28"/>
                <w:szCs w:val="28"/>
              </w:rPr>
              <w:t>POLOŽKOVÝ ROZPOČET - VÝKAZ MATERIÁLU</w:t>
            </w:r>
          </w:p>
        </w:tc>
      </w:tr>
      <w:tr w:rsidR="00772473" w:rsidRPr="00543ED2" w:rsidTr="0045092C">
        <w:trPr>
          <w:trHeight w:val="39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43ED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Obj</w:t>
            </w:r>
            <w:proofErr w:type="spellEnd"/>
            <w:r w:rsidRPr="00543ED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. číslo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Popis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množ.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j.</w:t>
            </w:r>
          </w:p>
        </w:tc>
        <w:tc>
          <w:tcPr>
            <w:tcW w:w="68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cena</w:t>
            </w:r>
          </w:p>
        </w:tc>
      </w:tr>
      <w:tr w:rsidR="00772473" w:rsidRPr="00543ED2" w:rsidTr="0045092C">
        <w:trPr>
          <w:trHeight w:val="33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Rozvaděče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30"/>
        </w:trPr>
        <w:tc>
          <w:tcPr>
            <w:tcW w:w="2142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Rozvaděč 4.</w:t>
            </w:r>
            <w:proofErr w:type="gramStart"/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NP (3.patro</w:t>
            </w:r>
            <w:proofErr w:type="gramEnd"/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RSB-42-60/90-3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19" rozvaděč RSB - 3 sekce 42U 60/90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DP-PT-350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police ukládací 350mm,19",1U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DP-RP-06-UTESP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19" napájecí panel, 6x UTE, přepěťová ochrana,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vypinač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30"/>
        </w:trPr>
        <w:tc>
          <w:tcPr>
            <w:tcW w:w="2142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Rozvaděč 3.</w:t>
            </w:r>
            <w:proofErr w:type="gramStart"/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NP (2.patro</w:t>
            </w:r>
            <w:proofErr w:type="gramEnd"/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19" stoj. 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rozvaděč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CONTEG, 42U, 800*800 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Rozvaděče 2.</w:t>
            </w:r>
            <w:proofErr w:type="gramStart"/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NP (1.patro</w:t>
            </w:r>
            <w:proofErr w:type="gramEnd"/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RMF-42-80/80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19"datový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rozv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rozv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. v.42U,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hl.800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š.800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DP-PT-350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police ukládací 350mm,19",1U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DP-RP-06-UTESP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19" napájecí panel, 6x UTE, přepěťová ochrana,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vypinač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RS-27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19"  rám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27U 559x600x1339mm (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ŠxHxV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RS-P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podstava rámu 19"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RSSD-RAIL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příčka pro dvojitý výstavní rám, 1 pár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pár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RSSD-VP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vyvazovací panel pro dvojitý </w:t>
            </w:r>
            <w:proofErr w:type="spellStart"/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výstav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rám</w:t>
            </w:r>
            <w:proofErr w:type="spellEnd"/>
            <w:proofErr w:type="gram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DP-PT-350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police ukládací 350mm,19",1U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DP-RP-06-UTESP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19" napájecí panel, 6x UTE, přepěťová ochrana,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vypinač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30"/>
        </w:trPr>
        <w:tc>
          <w:tcPr>
            <w:tcW w:w="2142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Rozvaděče 1.NP (přízemí)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RSB-42-60/90-3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19" rozvaděč RSB - 3 sekce 42U 60/90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DP-PT-350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police ukládací 350mm,19",1U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DP-RP-06-UTESP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19" napájecí panel, 6x UTE, přepěťová ochrana,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vypinač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RON-09-60/40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19" Nástěnný rozvaděč řady RON, výška: 9U, hloubka: 400mm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DP-RP-06-UTESP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19" napájecí panel, 6x UTE, přepěťová ochrana,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vypinač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zemnění rozvaděče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DP-MO-01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montážní sada 1xM6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Kabeláž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C6U-HF1-Rlx-305VT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Cat6Plus 23 AWG U/UTP 4 Pair LSF/OH IEC 332.1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Sheathed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Violet RAL 4005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Cable</w:t>
            </w:r>
            <w:proofErr w:type="spellEnd"/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bal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C6CPNLU24012M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rev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Cat6Plus 24 Port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Unscreened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Patch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Panel 1U 110 IDC 568A/B Black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with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cable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managementWired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C6CJAKU002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Rev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Cat6Plus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Snap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 Jack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Unscreened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Tool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Free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768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MMCANGLGD45002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Rev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45 x 45 mm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Angled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Shuttered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Snap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-In Jack Module -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Accepts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 x RJ-45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Jacks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Double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384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MMCWDOUNI115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80mm x 80mm Continental style UNI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Range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faceplate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(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Rounded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Corner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)- WHITE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384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MMCWDOUNI116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80x80x33mm Continental style UNI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Range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backbox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(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Rounded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Corner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)- WHITE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384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2473" w:rsidRPr="002005F7" w:rsidRDefault="00772473" w:rsidP="0045092C">
            <w:pPr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 xml:space="preserve">C5CPNLU504PK2M REV 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way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unscreened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telephone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1U panel 4 pin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wiring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Black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C6CPCU010-888BB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Category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Patch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Cord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1m,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Grey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C6CPCU020-888BB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Category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Patch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Cord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2m,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Grey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C6CPCU030-888BB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Category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Patch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Cord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3m,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Grey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C6CPCU050-888BB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Category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Patch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Cord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5m,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Grey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DP-VP-P1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19"vyvazovací panel 1U,jednostranný </w:t>
            </w:r>
            <w:proofErr w:type="spellStart"/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plast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oka</w:t>
            </w:r>
            <w:proofErr w:type="spellEnd"/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40x50 mm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Nosné prvky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PK170x70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kanál PK 170x70 DHD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640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8441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kryt koncový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8442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kryt spojovací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8443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kryt ohybový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8444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kryt odbočný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8445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roh vnitřní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8446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roh vnější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8447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kryt průchodkový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LHD 40x20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lišta hranatá PVC 40/20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LHD 40x40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lišta hranatá PVC 40/40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1240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trubka PVC SUPER MONOFLEX 40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FN60-GZ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drátěný kabelový žlab š=60,v=60,l=2500, galvanický zinek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FK1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45092C" w:rsidRDefault="00772473" w:rsidP="0045092C">
            <w:pPr>
              <w:rPr>
                <w:rFonts w:ascii="Calibri" w:hAnsi="Calibri" w:cs="Calibri"/>
                <w:color w:val="000000"/>
                <w:sz w:val="20"/>
              </w:rPr>
            </w:pPr>
            <w:r w:rsidRPr="0045092C">
              <w:rPr>
                <w:rFonts w:ascii="Calibri" w:hAnsi="Calibri" w:cs="Calibri"/>
                <w:color w:val="000000"/>
                <w:sz w:val="20"/>
              </w:rPr>
              <w:t>konzola pro FN603, FN60, FN1403 a FN140 galvanický zinek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FZ1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držák svislé tyče M8,galvanický zinek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FZ2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závitová tyč M8, 0.5m,galvanický zinek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FS1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spojka velká, bez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šroubu+matky,galvanický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zinek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FS2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spojka </w:t>
            </w:r>
            <w:proofErr w:type="spellStart"/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malá,vč.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šroubu+matky,galvanický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zinek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Páteřní rozvody FO + tel.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OKAKDPJ/A-DQ(ZN)H24G5N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Kabel gelový, 50/125um, 24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vl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., LSOH, CLT, se základní ochranou proti hlodavcům 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OV-GER-PEV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Rozvaděč optický 19" pevný hliníkový ZCOMAX, 1U, bez optického čela, trn pro optickou kazetu, 2x pozice PG16, 240mm hloubka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OV-GERP-24SC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Čelo 19" optického rozvaděče, 24 x SC/E2000 simplex, nebo 24x LC duplex, pro pevné vany ZCOMAX, šedé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OSVK-R40-TB24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Kazeta optická univerzální R40 pro 24 vláken, s víčkem, integrovaný hřebínek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OAD-LC-LC-D-MM-SENKO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Optická spojka/ adaptér/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coupling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LC-LC, duplex, MM, metalický spojovací člen uvnitř adaptéru, do SC díry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OPI-50-LC-1-900ES-ZX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Pigtail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optický MM OM2 50/125, LC, 1m, snadno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zdrhovatelný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, 900µm, I/L 0,3dB, R/L -25dB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OSVO-OEM-FP3M-60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Ochrana sváru smrštitelná teplem - 3x60mm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OPA-50-LC/LC-2D-ZX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Patchcord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optický MM OM2 50/125, LC-LC, 2m, LSOH oranžový dup. 2x 2,8mm, I/L 0,3dB, R/L -25dB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5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SYKFY 100x2x0,5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SYKFY 50x2x0,5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SYKFY 20x2x0,5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krabice MIS osazená 20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pr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drobný a montážní materiál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bal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131"/>
        </w:trPr>
        <w:tc>
          <w:tcPr>
            <w:tcW w:w="2142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5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Aktivní prvky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Datové centrum - Centrální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Datové centrum - Centrální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Datové centrum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Přízemí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Přízemí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1.NP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1.NP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2.NP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2.NP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3.NP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Zborovská 3.NP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Nám.1.máje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Telefonní ústředna - Centrální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Nám.1.máje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Telefonní ústředna - Centrální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Nám.1.máje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Telefonní ústředna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Nám.1.máje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Telefonní ústředna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Nám.1.máje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Kancelář primátora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Nám.1.máje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Interní audit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Nám.1.máje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Rozvoj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Nám.1.máje</w:t>
            </w:r>
            <w:proofErr w:type="gram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Zasedací místnost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Husovo nám. Telefonní ústředna - Centrální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Husovo nám. Telefonní ústředna - Centrální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Husovo nám. Telefonní ústředna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Husovo nám. Přízemí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21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Switch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Husovo nám. 2.NP - Periferní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194"/>
        </w:trPr>
        <w:tc>
          <w:tcPr>
            <w:tcW w:w="750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Celkem materiál bez DPH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7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174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Montážní práce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montáž rozvaděčové skříně, usazení, kompletace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montáž strukturované kabeláže certifikované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demontáž starých rozvodů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svár na vlákně MM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měření FO vlákna </w:t>
            </w:r>
            <w:proofErr w:type="spell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výk.metodou</w:t>
            </w:r>
            <w:proofErr w:type="spellEnd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vč.protokolu</w:t>
            </w:r>
            <w:proofErr w:type="spellEnd"/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Měření strukturované kabeláže včetně protokolu certifikační 250MHz LANTEK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768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montáž nosných prvků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přepojení sítě na nové rozvody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prováděcí dokumentace + skutečného provedení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drobné práce jinde neuvedené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bal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montáž aktivních prvků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konfigurace aktivní prvků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D1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doprava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ks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15"/>
        </w:trPr>
        <w:tc>
          <w:tcPr>
            <w:tcW w:w="750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Celkem montážní práce bez DPH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0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2473" w:rsidRPr="00543ED2" w:rsidTr="0045092C">
        <w:trPr>
          <w:trHeight w:val="330"/>
        </w:trPr>
        <w:tc>
          <w:tcPr>
            <w:tcW w:w="19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proofErr w:type="gramStart"/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>Celkem  bez</w:t>
            </w:r>
            <w:proofErr w:type="gramEnd"/>
            <w:r w:rsidRPr="00543ED2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DPH</w:t>
            </w:r>
          </w:p>
        </w:tc>
        <w:tc>
          <w:tcPr>
            <w:tcW w:w="554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72473" w:rsidRPr="00543ED2" w:rsidRDefault="00772473" w:rsidP="004509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3ED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B20B82" w:rsidRPr="009F0B97" w:rsidRDefault="00B20B82" w:rsidP="000725B0">
      <w:bookmarkStart w:id="0" w:name="_GoBack"/>
      <w:bookmarkEnd w:id="0"/>
    </w:p>
    <w:sectPr w:rsidR="00B20B82" w:rsidRPr="009F0B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9C8" w:rsidRDefault="003759C8" w:rsidP="007805E2">
      <w:r>
        <w:separator/>
      </w:r>
    </w:p>
  </w:endnote>
  <w:endnote w:type="continuationSeparator" w:id="0">
    <w:p w:rsidR="003759C8" w:rsidRDefault="003759C8" w:rsidP="00780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9C8" w:rsidRDefault="003759C8" w:rsidP="007805E2">
      <w:r>
        <w:separator/>
      </w:r>
    </w:p>
  </w:footnote>
  <w:footnote w:type="continuationSeparator" w:id="0">
    <w:p w:rsidR="003759C8" w:rsidRDefault="003759C8" w:rsidP="00780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36199"/>
    <w:multiLevelType w:val="hybridMultilevel"/>
    <w:tmpl w:val="9E327478"/>
    <w:lvl w:ilvl="0" w:tplc="7E2269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B45F8E"/>
    <w:multiLevelType w:val="multilevel"/>
    <w:tmpl w:val="3B5A6786"/>
    <w:lvl w:ilvl="0">
      <w:start w:val="1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1">
      <w:start w:val="4"/>
      <w:numFmt w:val="decimal"/>
      <w:lvlText w:val="%1.%2."/>
      <w:lvlJc w:val="left"/>
      <w:pPr>
        <w:tabs>
          <w:tab w:val="num" w:pos="1059"/>
        </w:tabs>
        <w:ind w:left="1059" w:hanging="705"/>
      </w:pPr>
      <w:rPr>
        <w:rFonts w:cs="Times New Roman"/>
      </w:rPr>
    </w:lvl>
    <w:lvl w:ilvl="2">
      <w:start w:val="5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82"/>
        </w:tabs>
        <w:ind w:left="1782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50"/>
        </w:tabs>
        <w:ind w:left="285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cs="Times New Roman"/>
      </w:rPr>
    </w:lvl>
  </w:abstractNum>
  <w:abstractNum w:abstractNumId="2">
    <w:nsid w:val="0FEE5DF7"/>
    <w:multiLevelType w:val="hybridMultilevel"/>
    <w:tmpl w:val="7700D482"/>
    <w:lvl w:ilvl="0" w:tplc="2B2CB1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F56C18"/>
    <w:multiLevelType w:val="hybridMultilevel"/>
    <w:tmpl w:val="22DA7098"/>
    <w:lvl w:ilvl="0" w:tplc="01D255F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1D3A7691"/>
    <w:multiLevelType w:val="hybridMultilevel"/>
    <w:tmpl w:val="F17005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33D35A9E"/>
    <w:multiLevelType w:val="multilevel"/>
    <w:tmpl w:val="AE744B34"/>
    <w:lvl w:ilvl="0">
      <w:start w:val="1"/>
      <w:numFmt w:val="decimal"/>
      <w:isLgl/>
      <w:lvlText w:val="(%1)"/>
      <w:lvlJc w:val="left"/>
      <w:pPr>
        <w:tabs>
          <w:tab w:val="num" w:pos="782"/>
        </w:tabs>
        <w:ind w:firstLine="425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5"/>
      <w:numFmt w:val="decimal"/>
      <w:lvlText w:val="(%7)"/>
      <w:lvlJc w:val="left"/>
      <w:pPr>
        <w:tabs>
          <w:tab w:val="num" w:pos="785"/>
        </w:tabs>
        <w:ind w:firstLine="425"/>
      </w:pPr>
      <w:rPr>
        <w:rFonts w:ascii="Times New Roman" w:hAnsi="Times New Roman" w:cs="Times New Roman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/>
      </w:rPr>
    </w:lvl>
  </w:abstractNum>
  <w:abstractNum w:abstractNumId="7">
    <w:nsid w:val="39B80FE3"/>
    <w:multiLevelType w:val="multilevel"/>
    <w:tmpl w:val="D592F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</w:rPr>
    </w:lvl>
    <w:lvl w:ilvl="1">
      <w:start w:val="1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">
    <w:nsid w:val="3D5C2D3D"/>
    <w:multiLevelType w:val="hybridMultilevel"/>
    <w:tmpl w:val="9104C7A6"/>
    <w:lvl w:ilvl="0" w:tplc="63DA15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F13C27"/>
    <w:multiLevelType w:val="hybridMultilevel"/>
    <w:tmpl w:val="20F82DAC"/>
    <w:lvl w:ilvl="0" w:tplc="9FE45B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7209F3"/>
    <w:multiLevelType w:val="hybridMultilevel"/>
    <w:tmpl w:val="C2E0A2B0"/>
    <w:lvl w:ilvl="0" w:tplc="D04A5A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4D7E2214"/>
    <w:multiLevelType w:val="multilevel"/>
    <w:tmpl w:val="929CE5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color w:val="auto"/>
      </w:rPr>
    </w:lvl>
    <w:lvl w:ilvl="1">
      <w:start w:val="1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1.%2.%3.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ascii="Times New Roman" w:hAnsi="Times New Roman" w:cs="Times New Roman" w:hint="default"/>
      </w:rPr>
    </w:lvl>
  </w:abstractNum>
  <w:abstractNum w:abstractNumId="12">
    <w:nsid w:val="556431D4"/>
    <w:multiLevelType w:val="multilevel"/>
    <w:tmpl w:val="37C2644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14">
    <w:nsid w:val="75546D50"/>
    <w:multiLevelType w:val="multilevel"/>
    <w:tmpl w:val="E700916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4.%2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</w:abstractNum>
  <w:abstractNum w:abstractNumId="15">
    <w:nsid w:val="79E21D39"/>
    <w:multiLevelType w:val="multilevel"/>
    <w:tmpl w:val="9CFCDAB6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17.%2."/>
      <w:lvlJc w:val="left"/>
      <w:pPr>
        <w:tabs>
          <w:tab w:val="num" w:pos="435"/>
        </w:tabs>
        <w:ind w:left="435" w:hanging="435"/>
      </w:pPr>
      <w:rPr>
        <w:rFonts w:cs="Times New Roman"/>
        <w:b/>
      </w:rPr>
    </w:lvl>
    <w:lvl w:ilvl="2">
      <w:start w:val="1"/>
      <w:numFmt w:val="decimal"/>
      <w:lvlText w:val="17.%2.%3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bullet"/>
      <w:lvlText w:val="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6">
    <w:nsid w:val="7E3B7029"/>
    <w:multiLevelType w:val="hybridMultilevel"/>
    <w:tmpl w:val="76DC51DC"/>
    <w:lvl w:ilvl="0" w:tplc="D36EB2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EAF2E52A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ascii="Times New Roman" w:hAnsi="Times New Roman" w:cs="Times New Roman" w:hint="default"/>
        <w:b/>
        <w:bCs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4"/>
    </w:lvlOverride>
    <w:lvlOverride w:ilvl="1">
      <w:startOverride w:val="4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3"/>
  </w:num>
  <w:num w:numId="10">
    <w:abstractNumId w:val="6"/>
  </w:num>
  <w:num w:numId="11">
    <w:abstractNumId w:val="16"/>
  </w:num>
  <w:num w:numId="12">
    <w:abstractNumId w:val="10"/>
  </w:num>
  <w:num w:numId="13">
    <w:abstractNumId w:val="11"/>
  </w:num>
  <w:num w:numId="14">
    <w:abstractNumId w:val="4"/>
  </w:num>
  <w:num w:numId="15">
    <w:abstractNumId w:val="14"/>
  </w:num>
  <w:num w:numId="16">
    <w:abstractNumId w:val="12"/>
  </w:num>
  <w:num w:numId="17">
    <w:abstractNumId w:val="9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B97"/>
    <w:rsid w:val="00052109"/>
    <w:rsid w:val="0006510C"/>
    <w:rsid w:val="000725B0"/>
    <w:rsid w:val="003759C8"/>
    <w:rsid w:val="004075DE"/>
    <w:rsid w:val="0045092C"/>
    <w:rsid w:val="006F4EA6"/>
    <w:rsid w:val="00772473"/>
    <w:rsid w:val="007805E2"/>
    <w:rsid w:val="0078218F"/>
    <w:rsid w:val="007C643A"/>
    <w:rsid w:val="007E5C08"/>
    <w:rsid w:val="009F0B97"/>
    <w:rsid w:val="00A00EF4"/>
    <w:rsid w:val="00B20B82"/>
    <w:rsid w:val="00C536A7"/>
    <w:rsid w:val="00D104A6"/>
    <w:rsid w:val="00DF4772"/>
    <w:rsid w:val="00E1790A"/>
    <w:rsid w:val="00FF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0B97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F0B97"/>
    <w:pPr>
      <w:keepNext/>
      <w:pBdr>
        <w:bottom w:val="single" w:sz="4" w:space="1" w:color="auto"/>
      </w:pBdr>
      <w:jc w:val="center"/>
      <w:outlineLvl w:val="0"/>
    </w:pPr>
    <w:rPr>
      <w:sz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F0B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F0B97"/>
    <w:rPr>
      <w:rFonts w:ascii="Arial" w:eastAsia="Times New Roman" w:hAnsi="Arial" w:cs="Times New Roman"/>
      <w:sz w:val="28"/>
      <w:szCs w:val="20"/>
      <w:lang w:eastAsia="cs-CZ"/>
    </w:rPr>
  </w:style>
  <w:style w:type="paragraph" w:styleId="Zkladntext">
    <w:name w:val="Body Text"/>
    <w:basedOn w:val="Normln"/>
    <w:link w:val="ZkladntextChar"/>
    <w:rsid w:val="009F0B97"/>
    <w:pPr>
      <w:tabs>
        <w:tab w:val="left" w:pos="0"/>
        <w:tab w:val="left" w:pos="7371"/>
      </w:tabs>
    </w:pPr>
    <w:rPr>
      <w:b/>
      <w:sz w:val="28"/>
    </w:rPr>
  </w:style>
  <w:style w:type="character" w:customStyle="1" w:styleId="ZkladntextChar">
    <w:name w:val="Základní text Char"/>
    <w:basedOn w:val="Standardnpsmoodstavce"/>
    <w:link w:val="Zkladntext"/>
    <w:rsid w:val="009F0B97"/>
    <w:rPr>
      <w:rFonts w:ascii="Arial" w:eastAsia="Times New Roman" w:hAnsi="Arial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9F0B97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9F0B97"/>
    <w:rPr>
      <w:rFonts w:ascii="Arial" w:eastAsia="Times New Roman" w:hAnsi="Arial" w:cs="Times New Roman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9F0B97"/>
    <w:rPr>
      <w:rFonts w:ascii="Times New Roman" w:hAnsi="Times New Roman" w:cs="Times New Roman" w:hint="default"/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9F0B97"/>
    <w:rPr>
      <w:rFonts w:ascii="Courier New" w:hAnsi="Courier New" w:cs="Courier New"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9F0B97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F0B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xtpsmene">
    <w:name w:val="Text písmene"/>
    <w:basedOn w:val="Normln"/>
    <w:rsid w:val="009F0B97"/>
    <w:pPr>
      <w:numPr>
        <w:ilvl w:val="1"/>
        <w:numId w:val="1"/>
      </w:numPr>
      <w:jc w:val="both"/>
      <w:outlineLvl w:val="7"/>
    </w:pPr>
    <w:rPr>
      <w:rFonts w:ascii="Times New Roman" w:hAnsi="Times New Roman"/>
      <w:szCs w:val="24"/>
    </w:rPr>
  </w:style>
  <w:style w:type="paragraph" w:customStyle="1" w:styleId="Textodstavce">
    <w:name w:val="Text odstavce"/>
    <w:basedOn w:val="Normln"/>
    <w:rsid w:val="009F0B97"/>
    <w:pPr>
      <w:numPr>
        <w:numId w:val="1"/>
      </w:numPr>
      <w:tabs>
        <w:tab w:val="left" w:pos="851"/>
      </w:tabs>
      <w:spacing w:before="120" w:after="120"/>
      <w:jc w:val="both"/>
      <w:outlineLvl w:val="6"/>
    </w:pPr>
    <w:rPr>
      <w:rFonts w:ascii="Times New Roman" w:hAnsi="Times New Roman"/>
      <w:szCs w:val="24"/>
    </w:rPr>
  </w:style>
  <w:style w:type="paragraph" w:customStyle="1" w:styleId="NADPIS20">
    <w:name w:val="NADPIS2"/>
    <w:basedOn w:val="Nadpis2"/>
    <w:uiPriority w:val="99"/>
    <w:rsid w:val="009F0B97"/>
    <w:pPr>
      <w:keepLines w:val="0"/>
      <w:tabs>
        <w:tab w:val="num" w:pos="1440"/>
      </w:tabs>
      <w:spacing w:before="240" w:after="60"/>
      <w:ind w:left="1440" w:hanging="360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val="fr-FR" w:eastAsia="en-US"/>
    </w:rPr>
  </w:style>
  <w:style w:type="paragraph" w:customStyle="1" w:styleId="NormalJustified">
    <w:name w:val="Normal (Justified)"/>
    <w:basedOn w:val="Normln"/>
    <w:rsid w:val="009F0B97"/>
    <w:pPr>
      <w:widowControl w:val="0"/>
      <w:jc w:val="both"/>
    </w:pPr>
    <w:rPr>
      <w:rFonts w:ascii="Times New Roman" w:hAnsi="Times New Roman"/>
      <w:kern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F0B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platne1">
    <w:name w:val="platne1"/>
    <w:uiPriority w:val="99"/>
    <w:rsid w:val="009F0B97"/>
    <w:rPr>
      <w:w w:val="120"/>
    </w:rPr>
  </w:style>
  <w:style w:type="paragraph" w:styleId="Zpat">
    <w:name w:val="footer"/>
    <w:basedOn w:val="Normln"/>
    <w:link w:val="ZpatChar"/>
    <w:rsid w:val="009F0B9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F0B97"/>
    <w:rPr>
      <w:rFonts w:ascii="Arial" w:eastAsia="Times New Roman" w:hAnsi="Arial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9F0B97"/>
    <w:pPr>
      <w:jc w:val="center"/>
    </w:pPr>
    <w:rPr>
      <w:rFonts w:ascii="Times New Roman" w:hAnsi="Times New Roman"/>
      <w:b/>
      <w:color w:val="000000"/>
    </w:rPr>
  </w:style>
  <w:style w:type="character" w:customStyle="1" w:styleId="NzevChar">
    <w:name w:val="Název Char"/>
    <w:basedOn w:val="Standardnpsmoodstavce"/>
    <w:link w:val="Nzev"/>
    <w:rsid w:val="009F0B97"/>
    <w:rPr>
      <w:rFonts w:ascii="Times New Roman" w:eastAsia="Times New Roman" w:hAnsi="Times New Roman" w:cs="Times New Roman"/>
      <w:b/>
      <w:color w:val="000000"/>
      <w:sz w:val="24"/>
      <w:szCs w:val="20"/>
      <w:lang w:eastAsia="cs-CZ"/>
    </w:rPr>
  </w:style>
  <w:style w:type="paragraph" w:styleId="Zkladntextodsazen3">
    <w:name w:val="Body Text Indent 3"/>
    <w:basedOn w:val="Normln"/>
    <w:link w:val="Zkladntextodsazen3Char"/>
    <w:rsid w:val="009F0B97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9F0B97"/>
    <w:rPr>
      <w:rFonts w:ascii="Arial" w:eastAsia="Times New Roman" w:hAnsi="Arial" w:cs="Times New Roman"/>
      <w:sz w:val="16"/>
      <w:szCs w:val="16"/>
      <w:lang w:eastAsia="cs-CZ"/>
    </w:rPr>
  </w:style>
  <w:style w:type="paragraph" w:customStyle="1" w:styleId="Textparagrafu">
    <w:name w:val="Text paragrafu"/>
    <w:basedOn w:val="Normln"/>
    <w:rsid w:val="009F0B97"/>
    <w:pPr>
      <w:spacing w:before="240"/>
      <w:ind w:firstLine="425"/>
      <w:jc w:val="both"/>
      <w:outlineLvl w:val="5"/>
    </w:pPr>
    <w:rPr>
      <w:rFonts w:ascii="Calibri" w:hAnsi="Calibri" w:cs="Calibri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0B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B8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805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805E2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Odrky">
    <w:name w:val="Odrážky"/>
    <w:rsid w:val="0006510C"/>
    <w:pPr>
      <w:spacing w:after="0" w:line="312" w:lineRule="auto"/>
    </w:pPr>
    <w:rPr>
      <w:rFonts w:ascii="Arial" w:eastAsia="ヒラギノ角ゴ Pro W3" w:hAnsi="Arial" w:cs="Times New Roman"/>
      <w:color w:val="000000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0B97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F0B97"/>
    <w:pPr>
      <w:keepNext/>
      <w:pBdr>
        <w:bottom w:val="single" w:sz="4" w:space="1" w:color="auto"/>
      </w:pBdr>
      <w:jc w:val="center"/>
      <w:outlineLvl w:val="0"/>
    </w:pPr>
    <w:rPr>
      <w:sz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F0B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F0B97"/>
    <w:rPr>
      <w:rFonts w:ascii="Arial" w:eastAsia="Times New Roman" w:hAnsi="Arial" w:cs="Times New Roman"/>
      <w:sz w:val="28"/>
      <w:szCs w:val="20"/>
      <w:lang w:eastAsia="cs-CZ"/>
    </w:rPr>
  </w:style>
  <w:style w:type="paragraph" w:styleId="Zkladntext">
    <w:name w:val="Body Text"/>
    <w:basedOn w:val="Normln"/>
    <w:link w:val="ZkladntextChar"/>
    <w:rsid w:val="009F0B97"/>
    <w:pPr>
      <w:tabs>
        <w:tab w:val="left" w:pos="0"/>
        <w:tab w:val="left" w:pos="7371"/>
      </w:tabs>
    </w:pPr>
    <w:rPr>
      <w:b/>
      <w:sz w:val="28"/>
    </w:rPr>
  </w:style>
  <w:style w:type="character" w:customStyle="1" w:styleId="ZkladntextChar">
    <w:name w:val="Základní text Char"/>
    <w:basedOn w:val="Standardnpsmoodstavce"/>
    <w:link w:val="Zkladntext"/>
    <w:rsid w:val="009F0B97"/>
    <w:rPr>
      <w:rFonts w:ascii="Arial" w:eastAsia="Times New Roman" w:hAnsi="Arial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9F0B97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9F0B97"/>
    <w:rPr>
      <w:rFonts w:ascii="Arial" w:eastAsia="Times New Roman" w:hAnsi="Arial" w:cs="Times New Roman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9F0B97"/>
    <w:rPr>
      <w:rFonts w:ascii="Times New Roman" w:hAnsi="Times New Roman" w:cs="Times New Roman" w:hint="default"/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9F0B97"/>
    <w:rPr>
      <w:rFonts w:ascii="Courier New" w:hAnsi="Courier New" w:cs="Courier New"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9F0B97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F0B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xtpsmene">
    <w:name w:val="Text písmene"/>
    <w:basedOn w:val="Normln"/>
    <w:rsid w:val="009F0B97"/>
    <w:pPr>
      <w:numPr>
        <w:ilvl w:val="1"/>
        <w:numId w:val="1"/>
      </w:numPr>
      <w:jc w:val="both"/>
      <w:outlineLvl w:val="7"/>
    </w:pPr>
    <w:rPr>
      <w:rFonts w:ascii="Times New Roman" w:hAnsi="Times New Roman"/>
      <w:szCs w:val="24"/>
    </w:rPr>
  </w:style>
  <w:style w:type="paragraph" w:customStyle="1" w:styleId="Textodstavce">
    <w:name w:val="Text odstavce"/>
    <w:basedOn w:val="Normln"/>
    <w:rsid w:val="009F0B97"/>
    <w:pPr>
      <w:numPr>
        <w:numId w:val="1"/>
      </w:numPr>
      <w:tabs>
        <w:tab w:val="left" w:pos="851"/>
      </w:tabs>
      <w:spacing w:before="120" w:after="120"/>
      <w:jc w:val="both"/>
      <w:outlineLvl w:val="6"/>
    </w:pPr>
    <w:rPr>
      <w:rFonts w:ascii="Times New Roman" w:hAnsi="Times New Roman"/>
      <w:szCs w:val="24"/>
    </w:rPr>
  </w:style>
  <w:style w:type="paragraph" w:customStyle="1" w:styleId="NADPIS20">
    <w:name w:val="NADPIS2"/>
    <w:basedOn w:val="Nadpis2"/>
    <w:uiPriority w:val="99"/>
    <w:rsid w:val="009F0B97"/>
    <w:pPr>
      <w:keepLines w:val="0"/>
      <w:tabs>
        <w:tab w:val="num" w:pos="1440"/>
      </w:tabs>
      <w:spacing w:before="240" w:after="60"/>
      <w:ind w:left="1440" w:hanging="360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val="fr-FR" w:eastAsia="en-US"/>
    </w:rPr>
  </w:style>
  <w:style w:type="paragraph" w:customStyle="1" w:styleId="NormalJustified">
    <w:name w:val="Normal (Justified)"/>
    <w:basedOn w:val="Normln"/>
    <w:rsid w:val="009F0B97"/>
    <w:pPr>
      <w:widowControl w:val="0"/>
      <w:jc w:val="both"/>
    </w:pPr>
    <w:rPr>
      <w:rFonts w:ascii="Times New Roman" w:hAnsi="Times New Roman"/>
      <w:kern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F0B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platne1">
    <w:name w:val="platne1"/>
    <w:uiPriority w:val="99"/>
    <w:rsid w:val="009F0B97"/>
    <w:rPr>
      <w:w w:val="120"/>
    </w:rPr>
  </w:style>
  <w:style w:type="paragraph" w:styleId="Zpat">
    <w:name w:val="footer"/>
    <w:basedOn w:val="Normln"/>
    <w:link w:val="ZpatChar"/>
    <w:rsid w:val="009F0B9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F0B97"/>
    <w:rPr>
      <w:rFonts w:ascii="Arial" w:eastAsia="Times New Roman" w:hAnsi="Arial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9F0B97"/>
    <w:pPr>
      <w:jc w:val="center"/>
    </w:pPr>
    <w:rPr>
      <w:rFonts w:ascii="Times New Roman" w:hAnsi="Times New Roman"/>
      <w:b/>
      <w:color w:val="000000"/>
    </w:rPr>
  </w:style>
  <w:style w:type="character" w:customStyle="1" w:styleId="NzevChar">
    <w:name w:val="Název Char"/>
    <w:basedOn w:val="Standardnpsmoodstavce"/>
    <w:link w:val="Nzev"/>
    <w:rsid w:val="009F0B97"/>
    <w:rPr>
      <w:rFonts w:ascii="Times New Roman" w:eastAsia="Times New Roman" w:hAnsi="Times New Roman" w:cs="Times New Roman"/>
      <w:b/>
      <w:color w:val="000000"/>
      <w:sz w:val="24"/>
      <w:szCs w:val="20"/>
      <w:lang w:eastAsia="cs-CZ"/>
    </w:rPr>
  </w:style>
  <w:style w:type="paragraph" w:styleId="Zkladntextodsazen3">
    <w:name w:val="Body Text Indent 3"/>
    <w:basedOn w:val="Normln"/>
    <w:link w:val="Zkladntextodsazen3Char"/>
    <w:rsid w:val="009F0B97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9F0B97"/>
    <w:rPr>
      <w:rFonts w:ascii="Arial" w:eastAsia="Times New Roman" w:hAnsi="Arial" w:cs="Times New Roman"/>
      <w:sz w:val="16"/>
      <w:szCs w:val="16"/>
      <w:lang w:eastAsia="cs-CZ"/>
    </w:rPr>
  </w:style>
  <w:style w:type="paragraph" w:customStyle="1" w:styleId="Textparagrafu">
    <w:name w:val="Text paragrafu"/>
    <w:basedOn w:val="Normln"/>
    <w:rsid w:val="009F0B97"/>
    <w:pPr>
      <w:spacing w:before="240"/>
      <w:ind w:firstLine="425"/>
      <w:jc w:val="both"/>
      <w:outlineLvl w:val="5"/>
    </w:pPr>
    <w:rPr>
      <w:rFonts w:ascii="Calibri" w:hAnsi="Calibri" w:cs="Calibri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0B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B8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805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805E2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Odrky">
    <w:name w:val="Odrážky"/>
    <w:rsid w:val="0006510C"/>
    <w:pPr>
      <w:spacing w:after="0" w:line="312" w:lineRule="auto"/>
    </w:pPr>
    <w:rPr>
      <w:rFonts w:ascii="Arial" w:eastAsia="ヒラギノ角ゴ Pro W3" w:hAnsi="Arial" w:cs="Times New Roman"/>
      <w:color w:val="000000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1653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Fiala Václav</dc:creator>
  <cp:lastModifiedBy>Topolová Klára</cp:lastModifiedBy>
  <cp:revision>2</cp:revision>
  <dcterms:created xsi:type="dcterms:W3CDTF">2012-10-24T11:12:00Z</dcterms:created>
  <dcterms:modified xsi:type="dcterms:W3CDTF">2012-10-24T11:12:00Z</dcterms:modified>
</cp:coreProperties>
</file>